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859E7" w14:textId="77777777" w:rsidR="00671A34" w:rsidRPr="00967E5F" w:rsidRDefault="00671A34" w:rsidP="00671A34">
      <w:pPr>
        <w:pStyle w:val="Titolo1"/>
        <w:shd w:val="clear" w:color="auto" w:fill="FFFFFF"/>
        <w:spacing w:before="0" w:beforeAutospacing="0" w:after="165" w:afterAutospacing="0" w:line="630" w:lineRule="atLeast"/>
        <w:textAlignment w:val="baseline"/>
        <w:rPr>
          <w:b w:val="0"/>
          <w:bCs w:val="0"/>
          <w:color w:val="007AC3"/>
          <w:sz w:val="28"/>
          <w:szCs w:val="28"/>
        </w:rPr>
      </w:pPr>
      <w:r w:rsidRPr="00967E5F">
        <w:rPr>
          <w:b w:val="0"/>
          <w:bCs w:val="0"/>
          <w:color w:val="007AC3"/>
          <w:sz w:val="28"/>
          <w:szCs w:val="28"/>
        </w:rPr>
        <w:t>Bonus alberghi anche per il 2022. A chi spetta</w:t>
      </w:r>
    </w:p>
    <w:p w14:paraId="4D77E041" w14:textId="77777777" w:rsidR="00671A34" w:rsidRPr="00967E5F" w:rsidRDefault="00671A34" w:rsidP="00671A34">
      <w:pPr>
        <w:pStyle w:val="abstract"/>
        <w:shd w:val="clear" w:color="auto" w:fill="FFFFFF"/>
        <w:spacing w:before="90" w:beforeAutospacing="0" w:after="300" w:afterAutospacing="0" w:line="360" w:lineRule="atLeast"/>
        <w:textAlignment w:val="baseline"/>
        <w:rPr>
          <w:rFonts w:ascii="Fira Sans" w:hAnsi="Fira Sans"/>
          <w:color w:val="000000"/>
          <w:sz w:val="28"/>
          <w:szCs w:val="28"/>
        </w:rPr>
      </w:pPr>
      <w:r w:rsidRPr="00967E5F">
        <w:rPr>
          <w:rFonts w:ascii="Fira Sans" w:hAnsi="Fira Sans"/>
          <w:color w:val="000000"/>
          <w:sz w:val="28"/>
          <w:szCs w:val="28"/>
        </w:rPr>
        <w:t>Il credito d’imposta per la riqualificazione e il miglioramento delle strutture turistico-ricettive resterà in vigore anche nel 2022. La proroga per un ulteriore anno dell’operatività del beneficio, precedentemente limitato al biennio 2020-2021, è prevista dal decreto Sostegni bis. Potranno usufruire del bonus, riconosciuto nella misura del 65% per le spese sostenute, le strutture ricettive turistico-ricettive, gli agriturismi, le strutture termali, anche per le spese per la realizzazione di piscine termali, nonché le strutture ricettive all'aria aperta: campeggi, villaggi turistici e parchi vacanza.</w:t>
      </w:r>
    </w:p>
    <w:p w14:paraId="0AE2FF40" w14:textId="77777777" w:rsidR="00671A34" w:rsidRPr="00967E5F" w:rsidRDefault="00671A34" w:rsidP="00671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color w:val="000000"/>
          <w:sz w:val="28"/>
          <w:szCs w:val="28"/>
        </w:rPr>
        <w:t>Un anno in più per il </w:t>
      </w:r>
      <w:r w:rsidRPr="00967E5F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bonus alberghi</w:t>
      </w:r>
      <w:r w:rsidRPr="00967E5F">
        <w:rPr>
          <w:rFonts w:ascii="Arial" w:hAnsi="Arial" w:cs="Arial"/>
          <w:color w:val="000000"/>
          <w:sz w:val="28"/>
          <w:szCs w:val="28"/>
        </w:rPr>
        <w:t>. Il credito d’imposta per la riqualificazione e il miglioramento delle strutture turistico-ricettive sarà valido </w:t>
      </w:r>
      <w:r w:rsidRPr="00967E5F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anche nel 2022</w:t>
      </w:r>
      <w:r w:rsidRPr="00967E5F">
        <w:rPr>
          <w:rFonts w:ascii="Arial" w:hAnsi="Arial" w:cs="Arial"/>
          <w:color w:val="000000"/>
          <w:sz w:val="28"/>
          <w:szCs w:val="28"/>
        </w:rPr>
        <w:t>.</w:t>
      </w:r>
    </w:p>
    <w:p w14:paraId="4166E15D" w14:textId="77777777" w:rsidR="00671A34" w:rsidRPr="00967E5F" w:rsidRDefault="00671A34" w:rsidP="00671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color w:val="000000"/>
          <w:sz w:val="28"/>
          <w:szCs w:val="28"/>
        </w:rPr>
        <w:t>L’estensione del periodo di vigenza dell’agevolazione, precedentemente limitata al biennio 2020-2021, è contenuta nel </w:t>
      </w:r>
      <w:r w:rsidRPr="00967E5F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decreto Sostegni bis</w:t>
      </w:r>
      <w:r w:rsidRPr="00967E5F">
        <w:rPr>
          <w:rFonts w:ascii="Arial" w:hAnsi="Arial" w:cs="Arial"/>
          <w:color w:val="000000"/>
          <w:sz w:val="28"/>
          <w:szCs w:val="28"/>
        </w:rPr>
        <w:t> (</w:t>
      </w:r>
      <w:hyperlink r:id="rId8" w:tgtFrame="_blank" w:tooltip="D.L. n. 73/2021" w:history="1">
        <w:r w:rsidRPr="00967E5F">
          <w:rPr>
            <w:rStyle w:val="Collegamentoipertestuale"/>
            <w:rFonts w:ascii="Arial" w:hAnsi="Arial" w:cs="Arial"/>
            <w:sz w:val="28"/>
            <w:szCs w:val="28"/>
            <w:bdr w:val="none" w:sz="0" w:space="0" w:color="auto" w:frame="1"/>
          </w:rPr>
          <w:t>D.L. n. 73/2021</w:t>
        </w:r>
      </w:hyperlink>
      <w:r w:rsidRPr="00967E5F">
        <w:rPr>
          <w:rFonts w:ascii="Arial" w:hAnsi="Arial" w:cs="Arial"/>
          <w:color w:val="000000"/>
          <w:sz w:val="28"/>
          <w:szCs w:val="28"/>
        </w:rPr>
        <w:t>).</w:t>
      </w:r>
    </w:p>
    <w:p w14:paraId="22E07F95" w14:textId="77777777" w:rsidR="00671A34" w:rsidRPr="00967E5F" w:rsidRDefault="00671A34" w:rsidP="00671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color w:val="000000"/>
          <w:sz w:val="28"/>
          <w:szCs w:val="28"/>
        </w:rPr>
        <w:t>Le </w:t>
      </w:r>
      <w:r w:rsidRPr="00967E5F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risorse</w:t>
      </w:r>
      <w:r w:rsidRPr="00967E5F">
        <w:rPr>
          <w:rFonts w:ascii="Arial" w:hAnsi="Arial" w:cs="Arial"/>
          <w:color w:val="000000"/>
          <w:sz w:val="28"/>
          <w:szCs w:val="28"/>
        </w:rPr>
        <w:t> messe a disposizione per la nuova annualità ammontano a </w:t>
      </w:r>
      <w:proofErr w:type="gramStart"/>
      <w:r w:rsidRPr="00967E5F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100</w:t>
      </w:r>
      <w:proofErr w:type="gramEnd"/>
      <w:r w:rsidRPr="00967E5F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milioni di euro</w:t>
      </w:r>
      <w:r w:rsidRPr="00967E5F">
        <w:rPr>
          <w:rFonts w:ascii="Arial" w:hAnsi="Arial" w:cs="Arial"/>
          <w:color w:val="000000"/>
          <w:sz w:val="28"/>
          <w:szCs w:val="28"/>
        </w:rPr>
        <w:t>.</w:t>
      </w:r>
    </w:p>
    <w:p w14:paraId="198B45F5" w14:textId="77777777" w:rsidR="00671A34" w:rsidRPr="00967E5F" w:rsidRDefault="00671A34" w:rsidP="00671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color w:val="000000"/>
          <w:sz w:val="28"/>
          <w:szCs w:val="28"/>
        </w:rPr>
        <w:t>Ma non c’è solo la proroga come novità. La disciplina del bonus è stata oggetto di modifica anche da parte della legge di conversione del primo decreto Sostegni.</w:t>
      </w:r>
    </w:p>
    <w:p w14:paraId="0F077EC8" w14:textId="77777777" w:rsidR="00671A34" w:rsidRPr="00967E5F" w:rsidRDefault="00671A34" w:rsidP="00671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color w:val="000000"/>
          <w:sz w:val="28"/>
          <w:szCs w:val="28"/>
        </w:rPr>
        <w:t>Al momento però il credito d’imposta è ancora sulla carta. Manca infatti il decreto ministeriale di aggiornamento delle disposizioni attuative.</w:t>
      </w:r>
    </w:p>
    <w:p w14:paraId="2D9769AB" w14:textId="77777777" w:rsidR="00671A34" w:rsidRPr="00967E5F" w:rsidRDefault="00671A34" w:rsidP="00671A34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b/>
          <w:bCs/>
          <w:color w:val="000000"/>
          <w:sz w:val="28"/>
          <w:szCs w:val="28"/>
        </w:rPr>
        <w:t>Proroga fino a tutto il 2022</w:t>
      </w:r>
    </w:p>
    <w:p w14:paraId="24BD82A4" w14:textId="77777777" w:rsidR="00671A34" w:rsidRPr="00967E5F" w:rsidRDefault="00671A34" w:rsidP="00671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color w:val="000000"/>
          <w:sz w:val="28"/>
          <w:szCs w:val="28"/>
        </w:rPr>
        <w:t>Il decreto Sostegni bis (art. 7, comma 5), in particolare, interviene sull’art. 79 del </w:t>
      </w:r>
      <w:hyperlink r:id="rId9" w:tgtFrame="_blank" w:tooltip="decreto Agosto" w:history="1">
        <w:r w:rsidRPr="00967E5F">
          <w:rPr>
            <w:rStyle w:val="Collegamentoipertestuale"/>
            <w:rFonts w:ascii="Arial" w:hAnsi="Arial" w:cs="Arial"/>
            <w:sz w:val="28"/>
            <w:szCs w:val="28"/>
            <w:bdr w:val="none" w:sz="0" w:space="0" w:color="auto" w:frame="1"/>
          </w:rPr>
          <w:t>decreto Agosto</w:t>
        </w:r>
      </w:hyperlink>
      <w:r w:rsidRPr="00967E5F">
        <w:rPr>
          <w:rFonts w:ascii="Arial" w:hAnsi="Arial" w:cs="Arial"/>
          <w:color w:val="000000"/>
          <w:sz w:val="28"/>
          <w:szCs w:val="28"/>
        </w:rPr>
        <w:t> (D.L. n. 104/2020), che ha riproposto il credito d’imposta per la </w:t>
      </w:r>
      <w:r w:rsidRPr="00967E5F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riqualificazione</w:t>
      </w:r>
      <w:r w:rsidRPr="00967E5F">
        <w:rPr>
          <w:rFonts w:ascii="Arial" w:hAnsi="Arial" w:cs="Arial"/>
          <w:color w:val="000000"/>
          <w:sz w:val="28"/>
          <w:szCs w:val="28"/>
        </w:rPr>
        <w:t> e il </w:t>
      </w:r>
      <w:r w:rsidRPr="00967E5F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miglioramento</w:t>
      </w:r>
      <w:r w:rsidRPr="00967E5F">
        <w:rPr>
          <w:rFonts w:ascii="Arial" w:hAnsi="Arial" w:cs="Arial"/>
          <w:color w:val="000000"/>
          <w:sz w:val="28"/>
          <w:szCs w:val="28"/>
        </w:rPr>
        <w:t> delle </w:t>
      </w:r>
      <w:r w:rsidRPr="00967E5F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strutture turistico-ricettive</w:t>
      </w:r>
      <w:r w:rsidRPr="00967E5F">
        <w:rPr>
          <w:rFonts w:ascii="Arial" w:hAnsi="Arial" w:cs="Arial"/>
          <w:color w:val="000000"/>
          <w:sz w:val="28"/>
          <w:szCs w:val="28"/>
        </w:rPr>
        <w:t> previsto dall’art. 10 del D.L. n. 83/2014.</w:t>
      </w:r>
    </w:p>
    <w:p w14:paraId="154985ED" w14:textId="77777777" w:rsidR="00671A34" w:rsidRPr="00967E5F" w:rsidRDefault="00671A34" w:rsidP="00671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color w:val="000000"/>
          <w:sz w:val="28"/>
          <w:szCs w:val="28"/>
        </w:rPr>
        <w:t xml:space="preserve">Secondo il contenuto dell’art. 79 del decreto </w:t>
      </w:r>
      <w:proofErr w:type="gramStart"/>
      <w:r w:rsidRPr="00967E5F">
        <w:rPr>
          <w:rFonts w:ascii="Arial" w:hAnsi="Arial" w:cs="Arial"/>
          <w:color w:val="000000"/>
          <w:sz w:val="28"/>
          <w:szCs w:val="28"/>
        </w:rPr>
        <w:t>Agosto</w:t>
      </w:r>
      <w:proofErr w:type="gramEnd"/>
      <w:r w:rsidRPr="00967E5F">
        <w:rPr>
          <w:rFonts w:ascii="Arial" w:hAnsi="Arial" w:cs="Arial"/>
          <w:color w:val="000000"/>
          <w:sz w:val="28"/>
          <w:szCs w:val="28"/>
        </w:rPr>
        <w:t>, nella versione ante decreto Sostegni bis, il credito d’imposta era riconosciuto per le spese sostenute nei due periodi di imposta successivi a quello in corso al 31 dicembre 2019 (2020 e 2021 per i soggetti con periodo di imposta coincidente con l’anno solare).</w:t>
      </w:r>
    </w:p>
    <w:p w14:paraId="40A39F5A" w14:textId="77777777" w:rsidR="00671A34" w:rsidRPr="00967E5F" w:rsidRDefault="00671A34" w:rsidP="00671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color w:val="000000"/>
          <w:sz w:val="28"/>
          <w:szCs w:val="28"/>
        </w:rPr>
        <w:lastRenderedPageBreak/>
        <w:t>Il decreto Sostegni bis ne prolunga la durata per un ulteriore periodo d’imposta.</w:t>
      </w:r>
    </w:p>
    <w:p w14:paraId="602519C2" w14:textId="77777777" w:rsidR="00671A34" w:rsidRPr="00967E5F" w:rsidRDefault="00671A34" w:rsidP="00671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color w:val="000000"/>
          <w:sz w:val="28"/>
          <w:szCs w:val="28"/>
        </w:rPr>
        <w:t>Nello specifico, viene previsto che il bonus spetta per le spese sostenute nei </w:t>
      </w:r>
      <w:r w:rsidRPr="00967E5F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tre periodi di imposta</w:t>
      </w:r>
      <w:r w:rsidRPr="00967E5F">
        <w:rPr>
          <w:rFonts w:ascii="Arial" w:hAnsi="Arial" w:cs="Arial"/>
          <w:color w:val="000000"/>
          <w:sz w:val="28"/>
          <w:szCs w:val="28"/>
        </w:rPr>
        <w:t> successivi a quello in corso al 31 dicembre 2019.</w:t>
      </w:r>
    </w:p>
    <w:p w14:paraId="0A5A0E0F" w14:textId="77777777" w:rsidR="00671A34" w:rsidRPr="00967E5F" w:rsidRDefault="00671A34" w:rsidP="00671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color w:val="000000"/>
          <w:sz w:val="28"/>
          <w:szCs w:val="28"/>
        </w:rPr>
        <w:t>Per i soggetti con periodo di imposta coincidente con l’anno solare, quindi, il bonus riguarda le spese sostenute nel 2020, nel 2021 e nel 2022.</w:t>
      </w:r>
    </w:p>
    <w:p w14:paraId="3BD9FC1D" w14:textId="77777777" w:rsidR="00671A34" w:rsidRPr="00967E5F" w:rsidRDefault="00671A34" w:rsidP="00671A34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b/>
          <w:bCs/>
          <w:color w:val="000000"/>
          <w:sz w:val="28"/>
          <w:szCs w:val="28"/>
        </w:rPr>
        <w:t>A chi spetta</w:t>
      </w:r>
    </w:p>
    <w:p w14:paraId="34A9B3E3" w14:textId="77777777" w:rsidR="00671A34" w:rsidRPr="00967E5F" w:rsidRDefault="00671A34" w:rsidP="00671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color w:val="000000"/>
          <w:sz w:val="28"/>
          <w:szCs w:val="28"/>
        </w:rPr>
        <w:t xml:space="preserve">Sotto il profilo soggettivo, dalla lettura combinata dell’art. 10 del D.L. 83/2014 e dell’art. 79 del decreto </w:t>
      </w:r>
      <w:proofErr w:type="gramStart"/>
      <w:r w:rsidRPr="00967E5F">
        <w:rPr>
          <w:rFonts w:ascii="Arial" w:hAnsi="Arial" w:cs="Arial"/>
          <w:color w:val="000000"/>
          <w:sz w:val="28"/>
          <w:szCs w:val="28"/>
        </w:rPr>
        <w:t>Agosto</w:t>
      </w:r>
      <w:proofErr w:type="gramEnd"/>
      <w:r w:rsidRPr="00967E5F">
        <w:rPr>
          <w:rFonts w:ascii="Arial" w:hAnsi="Arial" w:cs="Arial"/>
          <w:color w:val="000000"/>
          <w:sz w:val="28"/>
          <w:szCs w:val="28"/>
        </w:rPr>
        <w:t>, il credito d’imposta spetta:</w:t>
      </w:r>
    </w:p>
    <w:p w14:paraId="6D66CCA6" w14:textId="77777777" w:rsidR="00671A34" w:rsidRPr="00967E5F" w:rsidRDefault="00671A34" w:rsidP="00671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color w:val="000000"/>
          <w:sz w:val="28"/>
          <w:szCs w:val="28"/>
        </w:rPr>
        <w:t>- alle </w:t>
      </w:r>
      <w:r w:rsidRPr="00967E5F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imprese alberghiere</w:t>
      </w:r>
      <w:r w:rsidRPr="00967E5F">
        <w:rPr>
          <w:rFonts w:ascii="Arial" w:hAnsi="Arial" w:cs="Arial"/>
          <w:color w:val="000000"/>
          <w:sz w:val="28"/>
          <w:szCs w:val="28"/>
        </w:rPr>
        <w:t> (alberghi, villaggi-albergo, residenze turistico-alberghiere, alberghi diffusi, strutture individuate come "alberghiere" dalle specifiche normative regionali);</w:t>
      </w:r>
    </w:p>
    <w:p w14:paraId="1BC5FD8F" w14:textId="77777777" w:rsidR="00671A34" w:rsidRPr="00967E5F" w:rsidRDefault="00671A34" w:rsidP="00671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color w:val="000000"/>
          <w:sz w:val="28"/>
          <w:szCs w:val="28"/>
        </w:rPr>
        <w:t>- alle strutture che svolgono </w:t>
      </w:r>
      <w:r w:rsidRPr="00967E5F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attività agrituristica</w:t>
      </w:r>
      <w:r w:rsidRPr="00967E5F">
        <w:rPr>
          <w:rFonts w:ascii="Arial" w:hAnsi="Arial" w:cs="Arial"/>
          <w:color w:val="000000"/>
          <w:sz w:val="28"/>
          <w:szCs w:val="28"/>
        </w:rPr>
        <w:t>, come definita dalla l. 96/2006 e dalle pertinenti norme regionali;</w:t>
      </w:r>
    </w:p>
    <w:p w14:paraId="159D172A" w14:textId="77777777" w:rsidR="00671A34" w:rsidRPr="00967E5F" w:rsidRDefault="00671A34" w:rsidP="00671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color w:val="000000"/>
          <w:sz w:val="28"/>
          <w:szCs w:val="28"/>
        </w:rPr>
        <w:t>- agli </w:t>
      </w:r>
      <w:r w:rsidRPr="00967E5F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stabilimenti termali</w:t>
      </w:r>
      <w:r w:rsidRPr="00967E5F">
        <w:rPr>
          <w:rFonts w:ascii="Arial" w:hAnsi="Arial" w:cs="Arial"/>
          <w:color w:val="000000"/>
          <w:sz w:val="28"/>
          <w:szCs w:val="28"/>
        </w:rPr>
        <w:t> di cui all'articolo 3 della Legge n. 323/2000;</w:t>
      </w:r>
    </w:p>
    <w:p w14:paraId="468E7349" w14:textId="77777777" w:rsidR="00671A34" w:rsidRPr="00967E5F" w:rsidRDefault="00671A34" w:rsidP="00671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color w:val="000000"/>
          <w:sz w:val="28"/>
          <w:szCs w:val="28"/>
        </w:rPr>
        <w:t>- alle strutture ricettive all’aria aperta. In tale categoria dovrebbero rientrare: i </w:t>
      </w:r>
      <w:r w:rsidRPr="00967E5F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campeggi</w:t>
      </w:r>
      <w:r w:rsidRPr="00967E5F">
        <w:rPr>
          <w:rFonts w:ascii="Arial" w:hAnsi="Arial" w:cs="Arial"/>
          <w:color w:val="000000"/>
          <w:sz w:val="28"/>
          <w:szCs w:val="28"/>
        </w:rPr>
        <w:t>, i </w:t>
      </w:r>
      <w:r w:rsidRPr="00967E5F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villaggi turistici</w:t>
      </w:r>
      <w:r w:rsidRPr="00967E5F">
        <w:rPr>
          <w:rFonts w:ascii="Arial" w:hAnsi="Arial" w:cs="Arial"/>
          <w:color w:val="000000"/>
          <w:sz w:val="28"/>
          <w:szCs w:val="28"/>
        </w:rPr>
        <w:t>, le aree di sosta, i parchi vacanza.</w:t>
      </w:r>
    </w:p>
    <w:p w14:paraId="61E986DE" w14:textId="77777777" w:rsidR="00671A34" w:rsidRPr="00967E5F" w:rsidRDefault="00671A34" w:rsidP="00671A34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b/>
          <w:bCs/>
          <w:color w:val="000000"/>
          <w:sz w:val="28"/>
          <w:szCs w:val="28"/>
        </w:rPr>
        <w:t>Interventi agevolabili</w:t>
      </w:r>
    </w:p>
    <w:p w14:paraId="56E7DA33" w14:textId="77777777" w:rsidR="00671A34" w:rsidRPr="00967E5F" w:rsidRDefault="00671A34" w:rsidP="00671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color w:val="000000"/>
          <w:sz w:val="28"/>
          <w:szCs w:val="28"/>
        </w:rPr>
        <w:t>Se l’ambito soggettivo è definito abbastanza precisamente, non altrettanto si può dire dell’ambito oggettivo.</w:t>
      </w:r>
    </w:p>
    <w:p w14:paraId="17AAB16B" w14:textId="77777777" w:rsidR="00671A34" w:rsidRPr="00967E5F" w:rsidRDefault="00671A34" w:rsidP="00671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color w:val="000000"/>
          <w:sz w:val="28"/>
          <w:szCs w:val="28"/>
        </w:rPr>
        <w:t xml:space="preserve">Né il decreto </w:t>
      </w:r>
      <w:proofErr w:type="gramStart"/>
      <w:r w:rsidRPr="00967E5F">
        <w:rPr>
          <w:rFonts w:ascii="Arial" w:hAnsi="Arial" w:cs="Arial"/>
          <w:color w:val="000000"/>
          <w:sz w:val="28"/>
          <w:szCs w:val="28"/>
        </w:rPr>
        <w:t>Agosto</w:t>
      </w:r>
      <w:proofErr w:type="gramEnd"/>
      <w:r w:rsidRPr="00967E5F">
        <w:rPr>
          <w:rFonts w:ascii="Arial" w:hAnsi="Arial" w:cs="Arial"/>
          <w:color w:val="000000"/>
          <w:sz w:val="28"/>
          <w:szCs w:val="28"/>
        </w:rPr>
        <w:t xml:space="preserve"> né il decreto Sostegni bis infatti indicano in modo specifico le tipologie di interventi ammessi all’agevolazione. Tuttavia, il decreto </w:t>
      </w:r>
      <w:proofErr w:type="gramStart"/>
      <w:r w:rsidRPr="00967E5F">
        <w:rPr>
          <w:rFonts w:ascii="Arial" w:hAnsi="Arial" w:cs="Arial"/>
          <w:color w:val="000000"/>
          <w:sz w:val="28"/>
          <w:szCs w:val="28"/>
        </w:rPr>
        <w:t>Agosto</w:t>
      </w:r>
      <w:proofErr w:type="gramEnd"/>
      <w:r w:rsidRPr="00967E5F">
        <w:rPr>
          <w:rFonts w:ascii="Arial" w:hAnsi="Arial" w:cs="Arial"/>
          <w:color w:val="000000"/>
          <w:sz w:val="28"/>
          <w:szCs w:val="28"/>
        </w:rPr>
        <w:t xml:space="preserve"> prevede che, per quanto non diversamente disposto, si devono osservare, ove applicabili, le disposizioni di cui all’art. 10 del suddetto D.L. 83/2014.</w:t>
      </w:r>
    </w:p>
    <w:p w14:paraId="0A651603" w14:textId="77777777" w:rsidR="00671A34" w:rsidRPr="00967E5F" w:rsidRDefault="00671A34" w:rsidP="00671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color w:val="000000"/>
          <w:sz w:val="28"/>
          <w:szCs w:val="28"/>
        </w:rPr>
        <w:t>Pertanto, in base a tale rimando, il credito d’imposta spetterebbe per:</w:t>
      </w:r>
    </w:p>
    <w:p w14:paraId="630A3725" w14:textId="77777777" w:rsidR="00671A34" w:rsidRPr="00967E5F" w:rsidRDefault="00671A34" w:rsidP="00671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color w:val="000000"/>
          <w:sz w:val="28"/>
          <w:szCs w:val="28"/>
        </w:rPr>
        <w:t>- interventi di cui all’art. 3, comma 1, lettere b), c) e d), del D.P.R. n. 380/2001, ovvero interventi di </w:t>
      </w:r>
      <w:r w:rsidRPr="00967E5F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manutenzione straordinaria</w:t>
      </w:r>
      <w:r w:rsidRPr="00967E5F">
        <w:rPr>
          <w:rFonts w:ascii="Arial" w:hAnsi="Arial" w:cs="Arial"/>
          <w:color w:val="000000"/>
          <w:sz w:val="28"/>
          <w:szCs w:val="28"/>
        </w:rPr>
        <w:t>, di restauro e risanamento conservativo e di ristrutturazione;</w:t>
      </w:r>
    </w:p>
    <w:p w14:paraId="19F28047" w14:textId="77777777" w:rsidR="00671A34" w:rsidRPr="00967E5F" w:rsidRDefault="00671A34" w:rsidP="00671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color w:val="000000"/>
          <w:sz w:val="28"/>
          <w:szCs w:val="28"/>
        </w:rPr>
        <w:t>- interventi di eliminazione delle </w:t>
      </w:r>
      <w:r w:rsidRPr="00967E5F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barriere architettoniche</w:t>
      </w:r>
      <w:r w:rsidRPr="00967E5F">
        <w:rPr>
          <w:rFonts w:ascii="Arial" w:hAnsi="Arial" w:cs="Arial"/>
          <w:color w:val="000000"/>
          <w:sz w:val="28"/>
          <w:szCs w:val="28"/>
        </w:rPr>
        <w:t>;</w:t>
      </w:r>
    </w:p>
    <w:p w14:paraId="072FE49C" w14:textId="77777777" w:rsidR="00671A34" w:rsidRPr="00967E5F" w:rsidRDefault="00671A34" w:rsidP="00671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color w:val="000000"/>
          <w:sz w:val="28"/>
          <w:szCs w:val="28"/>
        </w:rPr>
        <w:t>- interventi di incremento dell’</w:t>
      </w:r>
      <w:r w:rsidRPr="00967E5F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efficienza energetica</w:t>
      </w:r>
      <w:r w:rsidRPr="00967E5F">
        <w:rPr>
          <w:rFonts w:ascii="Arial" w:hAnsi="Arial" w:cs="Arial"/>
          <w:color w:val="000000"/>
          <w:sz w:val="28"/>
          <w:szCs w:val="28"/>
        </w:rPr>
        <w:t>;</w:t>
      </w:r>
    </w:p>
    <w:p w14:paraId="5361ECB8" w14:textId="77777777" w:rsidR="00671A34" w:rsidRPr="00967E5F" w:rsidRDefault="00671A34" w:rsidP="00671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color w:val="000000"/>
          <w:sz w:val="28"/>
          <w:szCs w:val="28"/>
        </w:rPr>
        <w:t>- acquisto di </w:t>
      </w:r>
      <w:r w:rsidRPr="00967E5F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mobili e arredi</w:t>
      </w:r>
      <w:r w:rsidRPr="00967E5F">
        <w:rPr>
          <w:rFonts w:ascii="Arial" w:hAnsi="Arial" w:cs="Arial"/>
          <w:color w:val="000000"/>
          <w:sz w:val="28"/>
          <w:szCs w:val="28"/>
        </w:rPr>
        <w:t>.</w:t>
      </w:r>
    </w:p>
    <w:p w14:paraId="6EC32396" w14:textId="77777777" w:rsidR="00671A34" w:rsidRPr="00967E5F" w:rsidRDefault="00671A34" w:rsidP="00671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color w:val="000000"/>
          <w:sz w:val="28"/>
          <w:szCs w:val="28"/>
        </w:rPr>
        <w:lastRenderedPageBreak/>
        <w:t>Ai sensi del comma 2-bis dell’art. 10 del D.L. n. 83/2021, il bonus è riconosciuto anche nel caso in cui la ristrutturazione edilizia comporti un </w:t>
      </w:r>
      <w:r w:rsidRPr="00967E5F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aumento della cubatura complessiva</w:t>
      </w:r>
      <w:r w:rsidRPr="00967E5F">
        <w:rPr>
          <w:rFonts w:ascii="Arial" w:hAnsi="Arial" w:cs="Arial"/>
          <w:color w:val="000000"/>
          <w:sz w:val="28"/>
          <w:szCs w:val="28"/>
        </w:rPr>
        <w:t>, nei limiti e secondo le modalità dei piani casa regionali.</w:t>
      </w:r>
    </w:p>
    <w:p w14:paraId="4F391C0A" w14:textId="77777777" w:rsidR="00671A34" w:rsidRPr="00967E5F" w:rsidRDefault="00671A34" w:rsidP="00671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color w:val="000000"/>
          <w:sz w:val="28"/>
          <w:szCs w:val="28"/>
        </w:rPr>
        <w:t>Per i soli stabilimenti termali, per espressa previsione normativa, sono altresì agevolabili le spese sostenute per:</w:t>
      </w:r>
    </w:p>
    <w:p w14:paraId="5CF590DC" w14:textId="77777777" w:rsidR="00671A34" w:rsidRPr="00967E5F" w:rsidRDefault="00671A34" w:rsidP="00671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color w:val="000000"/>
          <w:sz w:val="28"/>
          <w:szCs w:val="28"/>
        </w:rPr>
        <w:t>- la realizzazione di </w:t>
      </w:r>
      <w:r w:rsidRPr="00967E5F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piscine termali</w:t>
      </w:r>
      <w:r w:rsidRPr="00967E5F">
        <w:rPr>
          <w:rFonts w:ascii="Arial" w:hAnsi="Arial" w:cs="Arial"/>
          <w:color w:val="000000"/>
          <w:sz w:val="28"/>
          <w:szCs w:val="28"/>
        </w:rPr>
        <w:t>;</w:t>
      </w:r>
    </w:p>
    <w:p w14:paraId="53C330F8" w14:textId="77777777" w:rsidR="00671A34" w:rsidRPr="00967E5F" w:rsidRDefault="00671A34" w:rsidP="00671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color w:val="000000"/>
          <w:sz w:val="28"/>
          <w:szCs w:val="28"/>
        </w:rPr>
        <w:t>- l’acquisizione di attrezzature e apparecchiature necessarie per lo svolgimento delle attività termali.</w:t>
      </w:r>
    </w:p>
    <w:p w14:paraId="023A8D43" w14:textId="77777777" w:rsidR="00671A34" w:rsidRPr="00967E5F" w:rsidRDefault="00671A34" w:rsidP="00671A34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b/>
          <w:bCs/>
          <w:color w:val="000000"/>
          <w:sz w:val="28"/>
          <w:szCs w:val="28"/>
        </w:rPr>
        <w:t>Misura credito d’imposta</w:t>
      </w:r>
    </w:p>
    <w:p w14:paraId="1B49FDC9" w14:textId="77777777" w:rsidR="00671A34" w:rsidRPr="00967E5F" w:rsidRDefault="00671A34" w:rsidP="00671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color w:val="000000"/>
          <w:sz w:val="28"/>
          <w:szCs w:val="28"/>
        </w:rPr>
        <w:t>Il credito di imposta è pari al </w:t>
      </w:r>
      <w:r w:rsidRPr="00967E5F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65% delle spese sostenute</w:t>
      </w:r>
      <w:r w:rsidRPr="00967E5F">
        <w:rPr>
          <w:rFonts w:ascii="Arial" w:hAnsi="Arial" w:cs="Arial"/>
          <w:color w:val="000000"/>
          <w:sz w:val="28"/>
          <w:szCs w:val="28"/>
        </w:rPr>
        <w:t xml:space="preserve"> ed è utilizzabile esclusivamente in compensazione nel modello F24, ai sensi dell’art. 17 del </w:t>
      </w:r>
      <w:proofErr w:type="spellStart"/>
      <w:r w:rsidRPr="00967E5F">
        <w:rPr>
          <w:rFonts w:ascii="Arial" w:hAnsi="Arial" w:cs="Arial"/>
          <w:color w:val="000000"/>
          <w:sz w:val="28"/>
          <w:szCs w:val="28"/>
        </w:rPr>
        <w:t>D.Lgs.</w:t>
      </w:r>
      <w:proofErr w:type="spellEnd"/>
      <w:r w:rsidRPr="00967E5F">
        <w:rPr>
          <w:rFonts w:ascii="Arial" w:hAnsi="Arial" w:cs="Arial"/>
          <w:color w:val="000000"/>
          <w:sz w:val="28"/>
          <w:szCs w:val="28"/>
        </w:rPr>
        <w:t xml:space="preserve"> n. 241/1997, in un’unica soluzione.</w:t>
      </w:r>
    </w:p>
    <w:p w14:paraId="0099D594" w14:textId="77777777" w:rsidR="00671A34" w:rsidRPr="00967E5F" w:rsidRDefault="00671A34" w:rsidP="00671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color w:val="000000"/>
          <w:sz w:val="28"/>
          <w:szCs w:val="28"/>
        </w:rPr>
        <w:t>Il benefico ottenuto:</w:t>
      </w:r>
    </w:p>
    <w:p w14:paraId="28A332CF" w14:textId="77777777" w:rsidR="00671A34" w:rsidRPr="00967E5F" w:rsidRDefault="00671A34" w:rsidP="00671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color w:val="000000"/>
          <w:sz w:val="28"/>
          <w:szCs w:val="28"/>
        </w:rPr>
        <w:t>- non concorre alla formazione del reddito ai fini delle imposte sui redditi e del valore della produzione ai fini dell’IRAP;</w:t>
      </w:r>
    </w:p>
    <w:p w14:paraId="17E0F0D7" w14:textId="77777777" w:rsidR="00671A34" w:rsidRPr="00967E5F" w:rsidRDefault="00671A34" w:rsidP="00671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color w:val="000000"/>
          <w:sz w:val="28"/>
          <w:szCs w:val="28"/>
        </w:rPr>
        <w:t>- non rileva ai fini della determinazione della quota di interessi passivi deducibile dal reddito di impresa ai sensi dell’articolo 61 del TUIR;</w:t>
      </w:r>
    </w:p>
    <w:p w14:paraId="2B842B94" w14:textId="77777777" w:rsidR="00671A34" w:rsidRPr="00967E5F" w:rsidRDefault="00671A34" w:rsidP="00671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color w:val="000000"/>
          <w:sz w:val="28"/>
          <w:szCs w:val="28"/>
        </w:rPr>
        <w:t>- non rileva ai fini della determinazione della quota di spese e altri componenti negativi diversi dagli interessi passivi deducibile dal reddito di impresa ai sensi dell’articolo 109, comma 5, del TUIR.</w:t>
      </w:r>
    </w:p>
    <w:p w14:paraId="0888A932" w14:textId="77777777" w:rsidR="00671A34" w:rsidRPr="00967E5F" w:rsidRDefault="00671A34" w:rsidP="00671A34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b/>
          <w:bCs/>
          <w:color w:val="000000"/>
          <w:sz w:val="28"/>
          <w:szCs w:val="28"/>
        </w:rPr>
        <w:t xml:space="preserve">Aiuto anche in </w:t>
      </w:r>
      <w:proofErr w:type="spellStart"/>
      <w:r w:rsidRPr="00967E5F">
        <w:rPr>
          <w:rFonts w:ascii="Arial" w:hAnsi="Arial" w:cs="Arial"/>
          <w:b/>
          <w:bCs/>
          <w:color w:val="000000"/>
          <w:sz w:val="28"/>
          <w:szCs w:val="28"/>
        </w:rPr>
        <w:t>Temporary</w:t>
      </w:r>
      <w:proofErr w:type="spellEnd"/>
      <w:r w:rsidRPr="00967E5F">
        <w:rPr>
          <w:rFonts w:ascii="Arial" w:hAnsi="Arial" w:cs="Arial"/>
          <w:b/>
          <w:bCs/>
          <w:color w:val="000000"/>
          <w:sz w:val="28"/>
          <w:szCs w:val="28"/>
        </w:rPr>
        <w:t xml:space="preserve"> Framework</w:t>
      </w:r>
    </w:p>
    <w:p w14:paraId="7DCF8584" w14:textId="77777777" w:rsidR="00671A34" w:rsidRPr="00967E5F" w:rsidRDefault="00671A34" w:rsidP="00671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color w:val="000000"/>
          <w:sz w:val="28"/>
          <w:szCs w:val="28"/>
        </w:rPr>
        <w:t>Come precedentemente accennato, la proroga disposta dal decreto Sostegni bis non è l’unica novità.</w:t>
      </w:r>
    </w:p>
    <w:p w14:paraId="1D4210CE" w14:textId="77777777" w:rsidR="00671A34" w:rsidRPr="00967E5F" w:rsidRDefault="00671A34" w:rsidP="00671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color w:val="000000"/>
          <w:sz w:val="28"/>
          <w:szCs w:val="28"/>
        </w:rPr>
        <w:t>Modifiche alla disciplina del credito d’imposta sono state anche apportate anche con la legge di conversione del primo decreto Sostegni (l. n. 69/2021).</w:t>
      </w:r>
    </w:p>
    <w:p w14:paraId="0A8B63AA" w14:textId="77777777" w:rsidR="00671A34" w:rsidRPr="00967E5F" w:rsidRDefault="00671A34" w:rsidP="00671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color w:val="000000"/>
          <w:sz w:val="28"/>
          <w:szCs w:val="28"/>
        </w:rPr>
        <w:t>Il comma 1-bis dell’art. 28, in particolare, interviene sul comma 3 dell’art. 10 del D.L. n. 83/2014.</w:t>
      </w:r>
    </w:p>
    <w:p w14:paraId="207B2669" w14:textId="77777777" w:rsidR="00671A34" w:rsidRPr="00967E5F" w:rsidRDefault="00671A34" w:rsidP="00671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color w:val="000000"/>
          <w:sz w:val="28"/>
          <w:szCs w:val="28"/>
        </w:rPr>
        <w:t xml:space="preserve">Il testo originario della disposizione prevedeva che il credito d'imposta fosse riconosciuto in “de </w:t>
      </w:r>
      <w:proofErr w:type="spellStart"/>
      <w:r w:rsidRPr="00967E5F">
        <w:rPr>
          <w:rFonts w:ascii="Arial" w:hAnsi="Arial" w:cs="Arial"/>
          <w:color w:val="000000"/>
          <w:sz w:val="28"/>
          <w:szCs w:val="28"/>
        </w:rPr>
        <w:t>minimis</w:t>
      </w:r>
      <w:proofErr w:type="spellEnd"/>
      <w:r w:rsidRPr="00967E5F">
        <w:rPr>
          <w:rFonts w:ascii="Arial" w:hAnsi="Arial" w:cs="Arial"/>
          <w:color w:val="000000"/>
          <w:sz w:val="28"/>
          <w:szCs w:val="28"/>
        </w:rPr>
        <w:t xml:space="preserve">” di cui al Regolamento (UE) n. 1407/2013, ai sensi del quale l'importo totale massimo degli aiuti ottenuti da una impresa a titolo di “de </w:t>
      </w:r>
      <w:proofErr w:type="spellStart"/>
      <w:r w:rsidRPr="00967E5F">
        <w:rPr>
          <w:rFonts w:ascii="Arial" w:hAnsi="Arial" w:cs="Arial"/>
          <w:color w:val="000000"/>
          <w:sz w:val="28"/>
          <w:szCs w:val="28"/>
        </w:rPr>
        <w:t>minimis</w:t>
      </w:r>
      <w:proofErr w:type="spellEnd"/>
      <w:r w:rsidRPr="00967E5F">
        <w:rPr>
          <w:rFonts w:ascii="Arial" w:hAnsi="Arial" w:cs="Arial"/>
          <w:color w:val="000000"/>
          <w:sz w:val="28"/>
          <w:szCs w:val="28"/>
        </w:rPr>
        <w:t>” non può superare, nell'arco di tre anni, i 200.000 euro.</w:t>
      </w:r>
    </w:p>
    <w:p w14:paraId="2F7D3FB8" w14:textId="77777777" w:rsidR="00671A34" w:rsidRPr="00967E5F" w:rsidRDefault="00671A34" w:rsidP="00671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color w:val="000000"/>
          <w:sz w:val="28"/>
          <w:szCs w:val="28"/>
        </w:rPr>
        <w:lastRenderedPageBreak/>
        <w:t xml:space="preserve">Il nuovo comma 3 dell’art. 10 del D.L. n. 83/2014 post l. n. 69/2021, invece, prevede che il credito di imposta è riconosciuto non solo nel rispetto dei limiti previsti dal Regolamento “de </w:t>
      </w:r>
      <w:proofErr w:type="spellStart"/>
      <w:r w:rsidRPr="00967E5F">
        <w:rPr>
          <w:rFonts w:ascii="Arial" w:hAnsi="Arial" w:cs="Arial"/>
          <w:color w:val="000000"/>
          <w:sz w:val="28"/>
          <w:szCs w:val="28"/>
        </w:rPr>
        <w:t>minimis</w:t>
      </w:r>
      <w:proofErr w:type="spellEnd"/>
      <w:r w:rsidRPr="00967E5F">
        <w:rPr>
          <w:rFonts w:ascii="Arial" w:hAnsi="Arial" w:cs="Arial"/>
          <w:color w:val="000000"/>
          <w:sz w:val="28"/>
          <w:szCs w:val="28"/>
        </w:rPr>
        <w:t xml:space="preserve">”, ma anche nel rispetto del Quadro temporaneo per le misure di aiuto di Stato, di cui alla comunicazione della Commissione europea del 19 marzo 2020, </w:t>
      </w:r>
      <w:proofErr w:type="gramStart"/>
      <w:r w:rsidRPr="00967E5F">
        <w:rPr>
          <w:rFonts w:ascii="Arial" w:hAnsi="Arial" w:cs="Arial"/>
          <w:color w:val="000000"/>
          <w:sz w:val="28"/>
          <w:szCs w:val="28"/>
        </w:rPr>
        <w:t>C(</w:t>
      </w:r>
      <w:proofErr w:type="gramEnd"/>
      <w:r w:rsidRPr="00967E5F">
        <w:rPr>
          <w:rFonts w:ascii="Arial" w:hAnsi="Arial" w:cs="Arial"/>
          <w:color w:val="000000"/>
          <w:sz w:val="28"/>
          <w:szCs w:val="28"/>
        </w:rPr>
        <w:t>2020) 1863, e successive modificazioni (</w:t>
      </w:r>
      <w:proofErr w:type="spellStart"/>
      <w:r w:rsidRPr="00967E5F">
        <w:rPr>
          <w:rFonts w:ascii="Arial" w:hAnsi="Arial" w:cs="Arial"/>
          <w:color w:val="000000"/>
          <w:sz w:val="28"/>
          <w:szCs w:val="28"/>
        </w:rPr>
        <w:t>Temporary</w:t>
      </w:r>
      <w:proofErr w:type="spellEnd"/>
      <w:r w:rsidRPr="00967E5F">
        <w:rPr>
          <w:rFonts w:ascii="Arial" w:hAnsi="Arial" w:cs="Arial"/>
          <w:color w:val="000000"/>
          <w:sz w:val="28"/>
          <w:szCs w:val="28"/>
        </w:rPr>
        <w:t xml:space="preserve"> Framework).</w:t>
      </w:r>
    </w:p>
    <w:p w14:paraId="73024ACF" w14:textId="77777777" w:rsidR="00671A34" w:rsidRPr="00967E5F" w:rsidRDefault="00671A34" w:rsidP="00671A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color w:val="000000"/>
          <w:sz w:val="28"/>
          <w:szCs w:val="28"/>
        </w:rPr>
        <w:t xml:space="preserve">Con la modifica si consente, quindi, di beneficiare del credito d’imposta, oltre che nel rispetto dei limiti “de </w:t>
      </w:r>
      <w:proofErr w:type="spellStart"/>
      <w:r w:rsidRPr="00967E5F">
        <w:rPr>
          <w:rFonts w:ascii="Arial" w:hAnsi="Arial" w:cs="Arial"/>
          <w:color w:val="000000"/>
          <w:sz w:val="28"/>
          <w:szCs w:val="28"/>
        </w:rPr>
        <w:t>minimis</w:t>
      </w:r>
      <w:proofErr w:type="spellEnd"/>
      <w:r w:rsidRPr="00967E5F">
        <w:rPr>
          <w:rFonts w:ascii="Arial" w:hAnsi="Arial" w:cs="Arial"/>
          <w:color w:val="000000"/>
          <w:sz w:val="28"/>
          <w:szCs w:val="28"/>
        </w:rPr>
        <w:t>”, anche nei </w:t>
      </w:r>
      <w:r w:rsidRPr="00967E5F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più ampi limiti</w:t>
      </w:r>
      <w:r w:rsidRPr="00967E5F">
        <w:rPr>
          <w:rFonts w:ascii="Arial" w:hAnsi="Arial" w:cs="Arial"/>
          <w:color w:val="000000"/>
          <w:sz w:val="28"/>
          <w:szCs w:val="28"/>
        </w:rPr>
        <w:t> del </w:t>
      </w:r>
      <w:proofErr w:type="spellStart"/>
      <w:r w:rsidRPr="00967E5F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Temporary</w:t>
      </w:r>
      <w:proofErr w:type="spellEnd"/>
      <w:r w:rsidRPr="00967E5F"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Framework</w:t>
      </w:r>
      <w:r w:rsidRPr="00967E5F">
        <w:rPr>
          <w:rFonts w:ascii="Arial" w:hAnsi="Arial" w:cs="Arial"/>
          <w:color w:val="000000"/>
          <w:sz w:val="28"/>
          <w:szCs w:val="28"/>
        </w:rPr>
        <w:t>.</w:t>
      </w:r>
    </w:p>
    <w:tbl>
      <w:tblPr>
        <w:tblW w:w="92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9"/>
      </w:tblGrid>
      <w:tr w:rsidR="00671A34" w:rsidRPr="00967E5F" w14:paraId="424B9160" w14:textId="77777777" w:rsidTr="00671A3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39FCE6A7" w14:textId="77777777" w:rsidR="00671A34" w:rsidRPr="00967E5F" w:rsidRDefault="00671A34">
            <w:pPr>
              <w:spacing w:line="315" w:lineRule="atLeast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7E5F">
              <w:rPr>
                <w:rStyle w:val="Enfasigrassetto"/>
                <w:rFonts w:ascii="Arial" w:hAnsi="Arial" w:cs="Arial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</w:rPr>
              <w:t>Attuazione</w:t>
            </w:r>
          </w:p>
          <w:p w14:paraId="36296D75" w14:textId="77777777" w:rsidR="00671A34" w:rsidRPr="00967E5F" w:rsidRDefault="00671A34">
            <w:pPr>
              <w:spacing w:line="315" w:lineRule="atLeast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7E5F">
              <w:rPr>
                <w:rFonts w:ascii="Arial" w:hAnsi="Arial" w:cs="Arial"/>
                <w:color w:val="000000"/>
                <w:sz w:val="28"/>
                <w:szCs w:val="28"/>
              </w:rPr>
              <w:t>Per la concreta fruizione del credito d’imposta manca ancora il </w:t>
            </w:r>
            <w:r w:rsidRPr="00967E5F">
              <w:rPr>
                <w:rStyle w:val="Enfasigrassetto"/>
                <w:rFonts w:ascii="Arial" w:hAnsi="Arial" w:cs="Arial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</w:rPr>
              <w:t>decreto</w:t>
            </w:r>
            <w:r w:rsidRPr="00967E5F">
              <w:rPr>
                <w:rFonts w:ascii="Arial" w:hAnsi="Arial" w:cs="Arial"/>
                <w:color w:val="000000"/>
                <w:sz w:val="28"/>
                <w:szCs w:val="28"/>
              </w:rPr>
              <w:t> del </w:t>
            </w:r>
            <w:r w:rsidRPr="00967E5F">
              <w:rPr>
                <w:rStyle w:val="Enfasigrassetto"/>
                <w:rFonts w:ascii="Arial" w:hAnsi="Arial" w:cs="Arial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</w:rPr>
              <w:t>Ministro dei beni e delle Attività culturali</w:t>
            </w:r>
            <w:r w:rsidRPr="00967E5F">
              <w:rPr>
                <w:rFonts w:ascii="Arial" w:hAnsi="Arial" w:cs="Arial"/>
                <w:color w:val="000000"/>
                <w:sz w:val="28"/>
                <w:szCs w:val="28"/>
              </w:rPr>
              <w:t> con cui dovranno essere adeguate le disposizioni attuative, dettate da ultimo dal decreto interministeriale 20 dicembre 2017 n. 598.</w:t>
            </w:r>
          </w:p>
          <w:p w14:paraId="6E5904B5" w14:textId="77777777" w:rsidR="00671A34" w:rsidRPr="00967E5F" w:rsidRDefault="00671A34">
            <w:pPr>
              <w:spacing w:line="315" w:lineRule="atLeast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7E5F">
              <w:rPr>
                <w:rFonts w:ascii="Arial" w:hAnsi="Arial" w:cs="Arial"/>
                <w:color w:val="000000"/>
                <w:sz w:val="28"/>
                <w:szCs w:val="28"/>
              </w:rPr>
              <w:t xml:space="preserve">Secondo la tempistica fissata dal decreto </w:t>
            </w:r>
            <w:proofErr w:type="gramStart"/>
            <w:r w:rsidRPr="00967E5F">
              <w:rPr>
                <w:rFonts w:ascii="Arial" w:hAnsi="Arial" w:cs="Arial"/>
                <w:color w:val="000000"/>
                <w:sz w:val="28"/>
                <w:szCs w:val="28"/>
              </w:rPr>
              <w:t>Agosto</w:t>
            </w:r>
            <w:proofErr w:type="gramEnd"/>
            <w:r w:rsidRPr="00967E5F">
              <w:rPr>
                <w:rFonts w:ascii="Arial" w:hAnsi="Arial" w:cs="Arial"/>
                <w:color w:val="000000"/>
                <w:sz w:val="28"/>
                <w:szCs w:val="28"/>
              </w:rPr>
              <w:t>, tale decreto di aggiornamento avrebbe dovuto essere emanato entro fino agosto/inizio settembre 2020.</w:t>
            </w:r>
          </w:p>
          <w:p w14:paraId="68168079" w14:textId="77777777" w:rsidR="00671A34" w:rsidRPr="00967E5F" w:rsidRDefault="00671A34">
            <w:pPr>
              <w:spacing w:line="315" w:lineRule="atLeast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7E5F">
              <w:rPr>
                <w:rFonts w:ascii="Arial" w:hAnsi="Arial" w:cs="Arial"/>
                <w:color w:val="000000"/>
                <w:sz w:val="28"/>
                <w:szCs w:val="28"/>
              </w:rPr>
              <w:t>In base al decreto interministeriale n. 598/2017, per accedere al credito di imposta è necessario presentare apposita domanda in via telematica e il beneficio è riconosciuto in base all'ordine cronologico di presentazione delle stesse.</w:t>
            </w:r>
          </w:p>
        </w:tc>
      </w:tr>
    </w:tbl>
    <w:p w14:paraId="6814ED89" w14:textId="77777777" w:rsidR="00671A34" w:rsidRPr="00967E5F" w:rsidRDefault="00671A34" w:rsidP="00671A34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67E5F">
        <w:rPr>
          <w:rFonts w:ascii="Arial" w:hAnsi="Arial" w:cs="Arial"/>
          <w:b/>
          <w:bCs/>
          <w:color w:val="000000"/>
          <w:sz w:val="28"/>
          <w:szCs w:val="28"/>
        </w:rPr>
        <w:t>Novità in sintesi</w:t>
      </w:r>
    </w:p>
    <w:tbl>
      <w:tblPr>
        <w:tblW w:w="92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06"/>
      </w:tblGrid>
      <w:tr w:rsidR="00671A34" w:rsidRPr="00967E5F" w14:paraId="1335BE85" w14:textId="77777777" w:rsidTr="00671A3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05E97C90" w14:textId="77777777" w:rsidR="00671A34" w:rsidRPr="00967E5F" w:rsidRDefault="00671A34">
            <w:pPr>
              <w:spacing w:line="315" w:lineRule="atLeast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7E5F">
              <w:rPr>
                <w:rStyle w:val="Enfasigrassetto"/>
                <w:rFonts w:ascii="Arial" w:hAnsi="Arial" w:cs="Arial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</w:rPr>
              <w:t>Decreto Sostegni bis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695C40FB" w14:textId="77777777" w:rsidR="00671A34" w:rsidRPr="00967E5F" w:rsidRDefault="00671A34">
            <w:pPr>
              <w:spacing w:line="315" w:lineRule="atLeast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7E5F">
              <w:rPr>
                <w:rFonts w:ascii="Arial" w:hAnsi="Arial" w:cs="Arial"/>
                <w:color w:val="000000"/>
                <w:sz w:val="28"/>
                <w:szCs w:val="28"/>
              </w:rPr>
              <w:t>Proroga per un </w:t>
            </w:r>
            <w:r w:rsidRPr="00967E5F">
              <w:rPr>
                <w:rStyle w:val="Enfasigrassetto"/>
                <w:rFonts w:ascii="Arial" w:hAnsi="Arial" w:cs="Arial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</w:rPr>
              <w:t>ulteriore periodo di imposta</w:t>
            </w:r>
            <w:r w:rsidRPr="00967E5F">
              <w:rPr>
                <w:rFonts w:ascii="Arial" w:hAnsi="Arial" w:cs="Arial"/>
                <w:color w:val="000000"/>
                <w:sz w:val="28"/>
                <w:szCs w:val="28"/>
              </w:rPr>
              <w:t>: il credito d’imposta è riconosciuto per le spese sostenute nei 3 periodi di imposta successivi a quello in corso al 31 dicembre 2019 (ante modifica il credito di imposta spettava per le spese sostenute nei 2 periodi di imposta successivi a quello in corso al 31 dicembre 2019)</w:t>
            </w:r>
          </w:p>
        </w:tc>
      </w:tr>
      <w:tr w:rsidR="00671A34" w:rsidRPr="00967E5F" w14:paraId="18F7D2FF" w14:textId="77777777" w:rsidTr="00671A3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14:paraId="0FDAA5EC" w14:textId="77777777" w:rsidR="00671A34" w:rsidRPr="00967E5F" w:rsidRDefault="00671A3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521C0BA6" w14:textId="77777777" w:rsidR="00671A34" w:rsidRPr="00967E5F" w:rsidRDefault="00671A34">
            <w:pPr>
              <w:spacing w:line="315" w:lineRule="atLeast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7E5F">
              <w:rPr>
                <w:rStyle w:val="Enfasigrassetto"/>
                <w:rFonts w:ascii="Arial" w:hAnsi="Arial" w:cs="Arial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</w:rPr>
              <w:t>Nuove risorse</w:t>
            </w:r>
            <w:r w:rsidRPr="00967E5F">
              <w:rPr>
                <w:rFonts w:ascii="Arial" w:hAnsi="Arial" w:cs="Arial"/>
                <w:color w:val="000000"/>
                <w:sz w:val="28"/>
                <w:szCs w:val="28"/>
              </w:rPr>
              <w:t> disponibili per la nuova annualità: </w:t>
            </w:r>
            <w:r w:rsidRPr="00967E5F">
              <w:rPr>
                <w:rStyle w:val="Enfasigrassetto"/>
                <w:rFonts w:ascii="Arial" w:hAnsi="Arial" w:cs="Arial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</w:rPr>
              <w:t>100 milioni di euro</w:t>
            </w:r>
            <w:r w:rsidRPr="00967E5F">
              <w:rPr>
                <w:rFonts w:ascii="Arial" w:hAnsi="Arial" w:cs="Arial"/>
                <w:color w:val="000000"/>
                <w:sz w:val="28"/>
                <w:szCs w:val="28"/>
              </w:rPr>
              <w:t> per il 2022</w:t>
            </w:r>
          </w:p>
        </w:tc>
      </w:tr>
      <w:tr w:rsidR="00671A34" w:rsidRPr="00967E5F" w14:paraId="22FFD76E" w14:textId="77777777" w:rsidTr="00671A34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7666457E" w14:textId="77777777" w:rsidR="00671A34" w:rsidRPr="00967E5F" w:rsidRDefault="00671A34">
            <w:pPr>
              <w:spacing w:line="315" w:lineRule="atLeast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7E5F">
              <w:rPr>
                <w:rStyle w:val="Enfasigrassetto"/>
                <w:rFonts w:ascii="Arial" w:hAnsi="Arial" w:cs="Arial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</w:rPr>
              <w:t>Legge di conversione del primo decreto Sostegni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4C84F034" w14:textId="77777777" w:rsidR="00671A34" w:rsidRPr="00967E5F" w:rsidRDefault="00671A34">
            <w:pPr>
              <w:spacing w:line="315" w:lineRule="atLeast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7E5F">
              <w:rPr>
                <w:rFonts w:ascii="Arial" w:hAnsi="Arial" w:cs="Arial"/>
                <w:color w:val="000000"/>
                <w:sz w:val="28"/>
                <w:szCs w:val="28"/>
              </w:rPr>
              <w:t>Aiuto anche in </w:t>
            </w:r>
            <w:proofErr w:type="spellStart"/>
            <w:r w:rsidRPr="00967E5F">
              <w:rPr>
                <w:rStyle w:val="Enfasigrassetto"/>
                <w:rFonts w:ascii="Arial" w:hAnsi="Arial" w:cs="Arial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</w:rPr>
              <w:t>Temporary</w:t>
            </w:r>
            <w:proofErr w:type="spellEnd"/>
            <w:r w:rsidRPr="00967E5F">
              <w:rPr>
                <w:rStyle w:val="Enfasigrassetto"/>
                <w:rFonts w:ascii="Arial" w:hAnsi="Arial" w:cs="Arial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</w:rPr>
              <w:t xml:space="preserve"> Framework</w:t>
            </w:r>
            <w:r w:rsidRPr="00967E5F">
              <w:rPr>
                <w:rFonts w:ascii="Arial" w:hAnsi="Arial" w:cs="Arial"/>
                <w:color w:val="000000"/>
                <w:sz w:val="28"/>
                <w:szCs w:val="28"/>
              </w:rPr>
              <w:t>: il credito d’imposta è concesso </w:t>
            </w:r>
            <w:r w:rsidRPr="00967E5F">
              <w:rPr>
                <w:rStyle w:val="Enfasigrassetto"/>
                <w:rFonts w:ascii="Arial" w:hAnsi="Arial" w:cs="Arial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</w:rPr>
              <w:t>oltre</w:t>
            </w:r>
            <w:r w:rsidRPr="00967E5F">
              <w:rPr>
                <w:rFonts w:ascii="Arial" w:hAnsi="Arial" w:cs="Arial"/>
                <w:color w:val="000000"/>
                <w:sz w:val="28"/>
                <w:szCs w:val="28"/>
              </w:rPr>
              <w:t> che nei </w:t>
            </w:r>
            <w:r w:rsidRPr="00967E5F">
              <w:rPr>
                <w:rStyle w:val="Enfasigrassetto"/>
                <w:rFonts w:ascii="Arial" w:hAnsi="Arial" w:cs="Arial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</w:rPr>
              <w:t xml:space="preserve">limiti del “de </w:t>
            </w:r>
            <w:proofErr w:type="spellStart"/>
            <w:r w:rsidRPr="00967E5F">
              <w:rPr>
                <w:rStyle w:val="Enfasigrassetto"/>
                <w:rFonts w:ascii="Arial" w:hAnsi="Arial" w:cs="Arial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</w:rPr>
              <w:t>minimis</w:t>
            </w:r>
            <w:proofErr w:type="spellEnd"/>
            <w:r w:rsidRPr="00967E5F">
              <w:rPr>
                <w:rStyle w:val="Enfasigrassetto"/>
                <w:rFonts w:ascii="Arial" w:hAnsi="Arial" w:cs="Arial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</w:rPr>
              <w:t>”</w:t>
            </w:r>
            <w:r w:rsidRPr="00967E5F">
              <w:rPr>
                <w:rFonts w:ascii="Arial" w:hAnsi="Arial" w:cs="Arial"/>
                <w:color w:val="000000"/>
                <w:sz w:val="28"/>
                <w:szCs w:val="28"/>
              </w:rPr>
              <w:t xml:space="preserve"> anche nel rispetto dei limiti consentiti dal </w:t>
            </w:r>
            <w:proofErr w:type="spellStart"/>
            <w:r w:rsidRPr="00967E5F">
              <w:rPr>
                <w:rFonts w:ascii="Arial" w:hAnsi="Arial" w:cs="Arial"/>
                <w:color w:val="000000"/>
                <w:sz w:val="28"/>
                <w:szCs w:val="28"/>
              </w:rPr>
              <w:t>Temporary</w:t>
            </w:r>
            <w:proofErr w:type="spellEnd"/>
            <w:r w:rsidRPr="00967E5F">
              <w:rPr>
                <w:rFonts w:ascii="Arial" w:hAnsi="Arial" w:cs="Arial"/>
                <w:color w:val="000000"/>
                <w:sz w:val="28"/>
                <w:szCs w:val="28"/>
              </w:rPr>
              <w:t xml:space="preserve"> Framework</w:t>
            </w:r>
          </w:p>
        </w:tc>
      </w:tr>
    </w:tbl>
    <w:p w14:paraId="134BDB74" w14:textId="77777777" w:rsidR="00733CA6" w:rsidRPr="00967E5F" w:rsidRDefault="00733CA6" w:rsidP="00671A34">
      <w:pPr>
        <w:pStyle w:val="Titolo3"/>
        <w:shd w:val="clear" w:color="auto" w:fill="FFFFFF"/>
        <w:spacing w:before="300" w:after="450" w:line="270" w:lineRule="atLeast"/>
        <w:jc w:val="right"/>
        <w:textAlignment w:val="baseline"/>
        <w:rPr>
          <w:sz w:val="28"/>
          <w:szCs w:val="28"/>
        </w:rPr>
      </w:pPr>
    </w:p>
    <w:sectPr w:rsidR="00733CA6" w:rsidRPr="00967E5F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9FAFF" w14:textId="77777777" w:rsidR="00A13686" w:rsidRDefault="00A13686">
      <w:r>
        <w:separator/>
      </w:r>
    </w:p>
  </w:endnote>
  <w:endnote w:type="continuationSeparator" w:id="0">
    <w:p w14:paraId="759FC916" w14:textId="77777777" w:rsidR="00A13686" w:rsidRDefault="00A1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69708" w14:textId="77777777" w:rsidR="00850DF5" w:rsidRDefault="00850DF5" w:rsidP="00EE4866">
    <w:pPr>
      <w:pStyle w:val="NormaleWeb"/>
      <w:tabs>
        <w:tab w:val="left" w:pos="4820"/>
      </w:tabs>
      <w:spacing w:before="0" w:beforeAutospacing="0" w:after="0" w:afterAutospacing="0"/>
      <w:rPr>
        <w:b/>
        <w:bCs/>
        <w:i/>
        <w:color w:val="000000"/>
        <w:sz w:val="20"/>
        <w:szCs w:val="20"/>
      </w:rPr>
    </w:pPr>
  </w:p>
  <w:p w14:paraId="07ACBF96" w14:textId="77777777" w:rsidR="00EE4866" w:rsidRPr="00EE4866" w:rsidRDefault="00EE4866" w:rsidP="00EE4866">
    <w:pPr>
      <w:pStyle w:val="NormaleWeb"/>
      <w:tabs>
        <w:tab w:val="left" w:pos="4820"/>
      </w:tabs>
      <w:spacing w:before="0" w:beforeAutospacing="0" w:after="0" w:afterAutospacing="0"/>
      <w:rPr>
        <w:i/>
        <w:sz w:val="20"/>
        <w:szCs w:val="20"/>
      </w:rPr>
    </w:pPr>
    <w:r>
      <w:rPr>
        <w:b/>
        <w:bCs/>
        <w:i/>
        <w:color w:val="000000"/>
        <w:sz w:val="20"/>
        <w:szCs w:val="20"/>
      </w:rPr>
      <w:t>ROMA</w:t>
    </w:r>
    <w:r>
      <w:rPr>
        <w:b/>
        <w:bCs/>
        <w:i/>
        <w:color w:val="000000"/>
        <w:sz w:val="20"/>
        <w:szCs w:val="20"/>
      </w:rPr>
      <w:tab/>
    </w:r>
    <w:r w:rsidRPr="00EE4866">
      <w:rPr>
        <w:b/>
        <w:bCs/>
        <w:i/>
        <w:color w:val="000000"/>
        <w:sz w:val="20"/>
        <w:szCs w:val="20"/>
      </w:rPr>
      <w:t>ARIANO IRPINO</w:t>
    </w:r>
    <w:r w:rsidR="00447160">
      <w:rPr>
        <w:b/>
        <w:bCs/>
        <w:i/>
        <w:color w:val="000000"/>
        <w:sz w:val="20"/>
        <w:szCs w:val="20"/>
      </w:rPr>
      <w:t xml:space="preserve"> (AV)</w:t>
    </w:r>
    <w:r w:rsidRPr="00EE4866">
      <w:rPr>
        <w:i/>
        <w:sz w:val="20"/>
        <w:szCs w:val="20"/>
      </w:rPr>
      <w:br/>
    </w:r>
    <w:r w:rsidR="0007685A">
      <w:rPr>
        <w:i/>
        <w:sz w:val="20"/>
        <w:szCs w:val="20"/>
      </w:rPr>
      <w:t xml:space="preserve">Viale Regina Margherita, 176 </w:t>
    </w:r>
    <w:r w:rsidR="001B7DAE">
      <w:rPr>
        <w:i/>
        <w:sz w:val="20"/>
        <w:szCs w:val="20"/>
      </w:rPr>
      <w:t xml:space="preserve">- </w:t>
    </w:r>
    <w:r w:rsidR="001B7DAE" w:rsidRPr="0007685A">
      <w:rPr>
        <w:i/>
        <w:sz w:val="20"/>
        <w:szCs w:val="20"/>
      </w:rPr>
      <w:t>Scala</w:t>
    </w:r>
    <w:r w:rsidR="0007685A" w:rsidRPr="00EE4866">
      <w:rPr>
        <w:i/>
        <w:sz w:val="20"/>
        <w:szCs w:val="20"/>
      </w:rPr>
      <w:t xml:space="preserve"> B - Interno 2</w:t>
    </w:r>
    <w:r>
      <w:rPr>
        <w:i/>
        <w:sz w:val="20"/>
        <w:szCs w:val="20"/>
      </w:rPr>
      <w:tab/>
    </w:r>
    <w:r w:rsidRPr="00EE4866">
      <w:rPr>
        <w:i/>
        <w:sz w:val="20"/>
        <w:szCs w:val="20"/>
      </w:rPr>
      <w:t xml:space="preserve">Via Fontana Angelica, 1 </w:t>
    </w:r>
    <w:r w:rsidR="0007685A">
      <w:rPr>
        <w:i/>
        <w:sz w:val="20"/>
        <w:szCs w:val="20"/>
      </w:rPr>
      <w:t xml:space="preserve">- </w:t>
    </w:r>
    <w:r w:rsidR="0007685A" w:rsidRPr="00EE4866">
      <w:rPr>
        <w:i/>
        <w:sz w:val="20"/>
        <w:szCs w:val="20"/>
      </w:rPr>
      <w:t>Centro Direz. F.A.C.I.</w:t>
    </w:r>
    <w:r>
      <w:rPr>
        <w:i/>
        <w:sz w:val="20"/>
        <w:szCs w:val="20"/>
      </w:rPr>
      <w:tab/>
    </w:r>
    <w:r w:rsidRPr="00EE4866">
      <w:rPr>
        <w:i/>
        <w:sz w:val="20"/>
        <w:szCs w:val="20"/>
      </w:rPr>
      <w:br/>
      <w:t>00198 Roma</w:t>
    </w:r>
    <w:r>
      <w:rPr>
        <w:i/>
        <w:sz w:val="20"/>
        <w:szCs w:val="20"/>
      </w:rPr>
      <w:tab/>
    </w:r>
    <w:r w:rsidRPr="00EE4866">
      <w:rPr>
        <w:i/>
        <w:sz w:val="20"/>
        <w:szCs w:val="20"/>
      </w:rPr>
      <w:t>83031 Ariano Irpino (AV)</w:t>
    </w:r>
  </w:p>
  <w:p w14:paraId="093EA162" w14:textId="77777777" w:rsidR="00EE4866" w:rsidRPr="0006133F" w:rsidRDefault="007B0EA7" w:rsidP="00EE4866">
    <w:pPr>
      <w:pStyle w:val="NormaleWeb"/>
      <w:tabs>
        <w:tab w:val="left" w:pos="4820"/>
      </w:tabs>
      <w:spacing w:before="0" w:beforeAutospacing="0" w:after="0" w:afterAutospacing="0"/>
      <w:rPr>
        <w:i/>
        <w:sz w:val="20"/>
        <w:szCs w:val="20"/>
      </w:rPr>
    </w:pPr>
    <w:r>
      <w:rPr>
        <w:i/>
        <w:sz w:val="20"/>
        <w:szCs w:val="20"/>
      </w:rPr>
      <w:t>Tel. 06/85301700</w:t>
    </w:r>
    <w:r>
      <w:rPr>
        <w:i/>
        <w:sz w:val="20"/>
        <w:szCs w:val="20"/>
      </w:rPr>
      <w:tab/>
      <w:t>Tel. 0825/</w:t>
    </w:r>
    <w:r w:rsidR="00EE4866" w:rsidRPr="0006133F">
      <w:rPr>
        <w:i/>
        <w:sz w:val="20"/>
        <w:szCs w:val="20"/>
      </w:rPr>
      <w:t>892086</w:t>
    </w:r>
    <w:r>
      <w:rPr>
        <w:i/>
        <w:sz w:val="20"/>
        <w:szCs w:val="20"/>
      </w:rPr>
      <w:t xml:space="preserve"> </w:t>
    </w:r>
    <w:r w:rsidR="001B7DAE">
      <w:rPr>
        <w:i/>
        <w:sz w:val="20"/>
        <w:szCs w:val="20"/>
      </w:rPr>
      <w:t>-</w:t>
    </w:r>
    <w:r>
      <w:rPr>
        <w:i/>
        <w:sz w:val="20"/>
        <w:szCs w:val="20"/>
      </w:rPr>
      <w:t xml:space="preserve"> 0825/891301</w:t>
    </w:r>
    <w:r w:rsidR="0007685A" w:rsidRPr="0006133F">
      <w:rPr>
        <w:i/>
        <w:sz w:val="20"/>
        <w:szCs w:val="20"/>
      </w:rPr>
      <w:t xml:space="preserve"> - Fax 0825</w:t>
    </w:r>
    <w:r>
      <w:rPr>
        <w:i/>
        <w:sz w:val="20"/>
        <w:szCs w:val="20"/>
      </w:rPr>
      <w:t>/</w:t>
    </w:r>
    <w:r w:rsidR="0007685A" w:rsidRPr="0006133F">
      <w:rPr>
        <w:i/>
        <w:sz w:val="20"/>
        <w:szCs w:val="20"/>
      </w:rPr>
      <w:t>892642</w:t>
    </w:r>
    <w:r w:rsidR="00EE4866" w:rsidRPr="0006133F">
      <w:rPr>
        <w:i/>
        <w:sz w:val="20"/>
        <w:szCs w:val="20"/>
      </w:rPr>
      <w:t xml:space="preserve"> </w:t>
    </w:r>
    <w:r w:rsidR="00EE4866" w:rsidRPr="0006133F">
      <w:rPr>
        <w:i/>
        <w:sz w:val="20"/>
        <w:szCs w:val="20"/>
      </w:rPr>
      <w:tab/>
    </w:r>
  </w:p>
  <w:p w14:paraId="42C1CF72" w14:textId="77777777" w:rsidR="00EE4866" w:rsidRPr="0006133F" w:rsidRDefault="00EE4866" w:rsidP="0007685A">
    <w:pPr>
      <w:pStyle w:val="NormaleWeb"/>
      <w:tabs>
        <w:tab w:val="left" w:pos="4820"/>
      </w:tabs>
      <w:spacing w:before="0" w:beforeAutospacing="0" w:after="0" w:afterAutospacing="0"/>
      <w:ind w:right="-143"/>
      <w:rPr>
        <w:i/>
        <w:color w:val="000000"/>
        <w:sz w:val="20"/>
        <w:szCs w:val="20"/>
      </w:rPr>
    </w:pPr>
    <w:r w:rsidRPr="0006133F">
      <w:rPr>
        <w:i/>
        <w:sz w:val="20"/>
        <w:szCs w:val="20"/>
      </w:rPr>
      <w:t>inforoma@studiocastellano.com</w:t>
    </w:r>
    <w:r w:rsidRPr="0006133F">
      <w:rPr>
        <w:i/>
        <w:sz w:val="20"/>
        <w:szCs w:val="20"/>
      </w:rPr>
      <w:tab/>
      <w:t>info@studiocastellano.com</w:t>
    </w:r>
  </w:p>
  <w:p w14:paraId="20400DA6" w14:textId="77777777" w:rsidR="00CF1BE2" w:rsidRPr="00E845CA" w:rsidRDefault="00CF1BE2" w:rsidP="00EE4866">
    <w:pPr>
      <w:tabs>
        <w:tab w:val="center" w:pos="4820"/>
      </w:tabs>
      <w:rPr>
        <w:b/>
        <w:i/>
        <w:sz w:val="20"/>
        <w:szCs w:val="20"/>
      </w:rPr>
    </w:pPr>
    <w:r w:rsidRPr="0006133F">
      <w:rPr>
        <w:i/>
        <w:sz w:val="20"/>
        <w:szCs w:val="20"/>
      </w:rPr>
      <w:t xml:space="preserve"> </w:t>
    </w:r>
    <w:r w:rsidR="00EE4866" w:rsidRPr="0006133F">
      <w:rPr>
        <w:i/>
        <w:sz w:val="20"/>
        <w:szCs w:val="20"/>
      </w:rPr>
      <w:tab/>
    </w:r>
    <w:r w:rsidR="00E845CA" w:rsidRPr="00E845CA">
      <w:rPr>
        <w:b/>
        <w:i/>
        <w:sz w:val="20"/>
        <w:szCs w:val="20"/>
      </w:rPr>
      <w:t>www.studiocastellano.com - facebook.com/StudioCastellano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40372" w14:textId="77777777" w:rsidR="00A13686" w:rsidRDefault="00A13686">
      <w:r>
        <w:separator/>
      </w:r>
    </w:p>
  </w:footnote>
  <w:footnote w:type="continuationSeparator" w:id="0">
    <w:p w14:paraId="247D1FE0" w14:textId="77777777" w:rsidR="00A13686" w:rsidRDefault="00A13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BDA77" w14:textId="77777777" w:rsidR="005E2050" w:rsidRDefault="00090742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EC9871C" wp14:editId="2451124B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843328" cy="531077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tudio Castellano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328" cy="531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08F8E6" w14:textId="77777777" w:rsidR="005E2050" w:rsidRDefault="005E2050">
    <w:pPr>
      <w:pStyle w:val="Intestazione"/>
    </w:pPr>
  </w:p>
  <w:p w14:paraId="1F41582A" w14:textId="77777777" w:rsidR="005E2050" w:rsidRDefault="005E2050">
    <w:pPr>
      <w:pStyle w:val="Intestazione"/>
    </w:pPr>
  </w:p>
  <w:p w14:paraId="28DFF71C" w14:textId="77777777" w:rsidR="005E2050" w:rsidRDefault="005E2050" w:rsidP="0051460C">
    <w:pPr>
      <w:pStyle w:val="Intestazione"/>
      <w:tabs>
        <w:tab w:val="clear" w:pos="4819"/>
        <w:tab w:val="clear" w:pos="9638"/>
      </w:tabs>
      <w:jc w:val="center"/>
    </w:pPr>
    <w:r>
      <w:t>Professionisti d’Impresa</w:t>
    </w:r>
  </w:p>
  <w:p w14:paraId="3317BB53" w14:textId="77777777" w:rsidR="005E2050" w:rsidRDefault="005E2050" w:rsidP="0051460C">
    <w:pPr>
      <w:pStyle w:val="Intestazione"/>
      <w:tabs>
        <w:tab w:val="left" w:pos="142"/>
        <w:tab w:val="left" w:pos="180"/>
      </w:tabs>
      <w:jc w:val="center"/>
    </w:pPr>
    <w:r>
      <w:t>Studio di Consulenza Societaria e Tributaria</w:t>
    </w:r>
  </w:p>
  <w:p w14:paraId="307A23F0" w14:textId="77777777" w:rsidR="00021415" w:rsidRDefault="00021415" w:rsidP="0051460C">
    <w:pPr>
      <w:pStyle w:val="Intestazione"/>
      <w:tabs>
        <w:tab w:val="left" w:pos="142"/>
        <w:tab w:val="left" w:pos="1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6B8D"/>
    <w:multiLevelType w:val="hybridMultilevel"/>
    <w:tmpl w:val="834EBD5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34D85"/>
    <w:multiLevelType w:val="multilevel"/>
    <w:tmpl w:val="7EF0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A6B48"/>
    <w:multiLevelType w:val="multilevel"/>
    <w:tmpl w:val="E192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D746D"/>
    <w:multiLevelType w:val="hybridMultilevel"/>
    <w:tmpl w:val="5D286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3097F"/>
    <w:multiLevelType w:val="hybridMultilevel"/>
    <w:tmpl w:val="14CC14C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F6FCC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6609CD"/>
    <w:multiLevelType w:val="hybridMultilevel"/>
    <w:tmpl w:val="B7C492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55466"/>
    <w:multiLevelType w:val="multilevel"/>
    <w:tmpl w:val="0A82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6D54F9"/>
    <w:multiLevelType w:val="multilevel"/>
    <w:tmpl w:val="496E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2F447C"/>
    <w:multiLevelType w:val="multilevel"/>
    <w:tmpl w:val="25F0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F3560B"/>
    <w:multiLevelType w:val="multilevel"/>
    <w:tmpl w:val="5C80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3605F6"/>
    <w:multiLevelType w:val="hybridMultilevel"/>
    <w:tmpl w:val="9BF2028A"/>
    <w:lvl w:ilvl="0" w:tplc="10F6FC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B575C9F"/>
    <w:multiLevelType w:val="multilevel"/>
    <w:tmpl w:val="FBB8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3A28FF"/>
    <w:multiLevelType w:val="hybridMultilevel"/>
    <w:tmpl w:val="8F0092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7A3651"/>
    <w:multiLevelType w:val="multilevel"/>
    <w:tmpl w:val="FA24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C16960"/>
    <w:multiLevelType w:val="multilevel"/>
    <w:tmpl w:val="C6DA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D35"/>
    <w:rsid w:val="00001CAF"/>
    <w:rsid w:val="00021415"/>
    <w:rsid w:val="0006133F"/>
    <w:rsid w:val="0007685A"/>
    <w:rsid w:val="00090742"/>
    <w:rsid w:val="000E3A1A"/>
    <w:rsid w:val="000F6E4D"/>
    <w:rsid w:val="00131D35"/>
    <w:rsid w:val="001B7DAE"/>
    <w:rsid w:val="00260E46"/>
    <w:rsid w:val="00292CC6"/>
    <w:rsid w:val="002E35F2"/>
    <w:rsid w:val="002F7467"/>
    <w:rsid w:val="00423765"/>
    <w:rsid w:val="00447160"/>
    <w:rsid w:val="0051460C"/>
    <w:rsid w:val="00525604"/>
    <w:rsid w:val="00576557"/>
    <w:rsid w:val="005C19B6"/>
    <w:rsid w:val="005E2050"/>
    <w:rsid w:val="00617A0A"/>
    <w:rsid w:val="00671A34"/>
    <w:rsid w:val="00671A83"/>
    <w:rsid w:val="006D386C"/>
    <w:rsid w:val="006E4BE7"/>
    <w:rsid w:val="00702340"/>
    <w:rsid w:val="00733CA6"/>
    <w:rsid w:val="007B0EA7"/>
    <w:rsid w:val="00830A14"/>
    <w:rsid w:val="00844330"/>
    <w:rsid w:val="00850DF5"/>
    <w:rsid w:val="00865DB1"/>
    <w:rsid w:val="008B0AE7"/>
    <w:rsid w:val="00967E5F"/>
    <w:rsid w:val="00997866"/>
    <w:rsid w:val="00A13686"/>
    <w:rsid w:val="00A45B1A"/>
    <w:rsid w:val="00B52F06"/>
    <w:rsid w:val="00B54C6E"/>
    <w:rsid w:val="00BB03EA"/>
    <w:rsid w:val="00C82D18"/>
    <w:rsid w:val="00CF1BE2"/>
    <w:rsid w:val="00D96F12"/>
    <w:rsid w:val="00DA7F7D"/>
    <w:rsid w:val="00DD12DF"/>
    <w:rsid w:val="00E125FF"/>
    <w:rsid w:val="00E4304B"/>
    <w:rsid w:val="00E44708"/>
    <w:rsid w:val="00E55566"/>
    <w:rsid w:val="00E845CA"/>
    <w:rsid w:val="00EE4866"/>
    <w:rsid w:val="00F25646"/>
    <w:rsid w:val="00F752DD"/>
    <w:rsid w:val="00F8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65C61E"/>
  <w15:chartTrackingRefBased/>
  <w15:docId w15:val="{DABDCFF1-4B1D-468C-B24F-D06296ED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8B0A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1A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671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71A8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1A83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EE4866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EE486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125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125F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0AE7"/>
    <w:rPr>
      <w:b/>
      <w:bCs/>
      <w:kern w:val="3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8B0AE7"/>
    <w:rPr>
      <w:b/>
      <w:bCs/>
    </w:rPr>
  </w:style>
  <w:style w:type="paragraph" w:styleId="Paragrafoelenco">
    <w:name w:val="List Paragraph"/>
    <w:basedOn w:val="Normale"/>
    <w:uiPriority w:val="34"/>
    <w:qFormat/>
    <w:rsid w:val="006E4BE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671A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671A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wki">
    <w:name w:val="wki"/>
    <w:basedOn w:val="Normale"/>
    <w:rsid w:val="00671A34"/>
    <w:pPr>
      <w:spacing w:before="100" w:beforeAutospacing="1" w:after="100" w:afterAutospacing="1"/>
    </w:pPr>
  </w:style>
  <w:style w:type="paragraph" w:customStyle="1" w:styleId="logo">
    <w:name w:val="logo"/>
    <w:basedOn w:val="Normale"/>
    <w:rsid w:val="00671A34"/>
    <w:pPr>
      <w:spacing w:before="100" w:beforeAutospacing="1" w:after="100" w:afterAutospacing="1"/>
    </w:pPr>
  </w:style>
  <w:style w:type="paragraph" w:customStyle="1" w:styleId="search">
    <w:name w:val="search"/>
    <w:basedOn w:val="Normale"/>
    <w:rsid w:val="00671A34"/>
    <w:pPr>
      <w:spacing w:before="100" w:beforeAutospacing="1" w:after="100" w:afterAutospacing="1"/>
    </w:pPr>
  </w:style>
  <w:style w:type="paragraph" w:customStyle="1" w:styleId="login">
    <w:name w:val="login"/>
    <w:basedOn w:val="Normale"/>
    <w:rsid w:val="00671A34"/>
    <w:pPr>
      <w:spacing w:before="100" w:beforeAutospacing="1" w:after="100" w:afterAutospacing="1"/>
    </w:pPr>
  </w:style>
  <w:style w:type="paragraph" w:customStyle="1" w:styleId="has-sub">
    <w:name w:val="has-sub"/>
    <w:basedOn w:val="Normale"/>
    <w:rsid w:val="00671A34"/>
    <w:pPr>
      <w:spacing w:before="100" w:beforeAutospacing="1" w:after="100" w:afterAutospacing="1"/>
    </w:pPr>
  </w:style>
  <w:style w:type="paragraph" w:customStyle="1" w:styleId="sections">
    <w:name w:val="sections"/>
    <w:basedOn w:val="Normale"/>
    <w:rsid w:val="00671A34"/>
    <w:pPr>
      <w:spacing w:before="100" w:beforeAutospacing="1" w:after="100" w:afterAutospacing="1"/>
    </w:pPr>
  </w:style>
  <w:style w:type="character" w:customStyle="1" w:styleId="small">
    <w:name w:val="small"/>
    <w:basedOn w:val="Carpredefinitoparagrafo"/>
    <w:rsid w:val="00671A34"/>
  </w:style>
  <w:style w:type="paragraph" w:customStyle="1" w:styleId="author">
    <w:name w:val="author"/>
    <w:basedOn w:val="Normale"/>
    <w:rsid w:val="00671A34"/>
    <w:pPr>
      <w:spacing w:before="100" w:beforeAutospacing="1" w:after="100" w:afterAutospacing="1"/>
    </w:pPr>
  </w:style>
  <w:style w:type="paragraph" w:customStyle="1" w:styleId="tag">
    <w:name w:val="tag"/>
    <w:basedOn w:val="Normale"/>
    <w:rsid w:val="00671A34"/>
    <w:pPr>
      <w:spacing w:before="100" w:beforeAutospacing="1" w:after="100" w:afterAutospacing="1"/>
    </w:pPr>
  </w:style>
  <w:style w:type="paragraph" w:customStyle="1" w:styleId="read-later">
    <w:name w:val="read-later"/>
    <w:basedOn w:val="Normale"/>
    <w:rsid w:val="00671A34"/>
    <w:pPr>
      <w:spacing w:before="100" w:beforeAutospacing="1" w:after="100" w:afterAutospacing="1"/>
    </w:pPr>
  </w:style>
  <w:style w:type="paragraph" w:customStyle="1" w:styleId="stampa">
    <w:name w:val="stampa"/>
    <w:basedOn w:val="Normale"/>
    <w:rsid w:val="00671A34"/>
    <w:pPr>
      <w:spacing w:before="100" w:beforeAutospacing="1" w:after="100" w:afterAutospacing="1"/>
    </w:pPr>
  </w:style>
  <w:style w:type="paragraph" w:customStyle="1" w:styleId="pdf">
    <w:name w:val="pdf"/>
    <w:basedOn w:val="Normale"/>
    <w:rsid w:val="00671A34"/>
    <w:pPr>
      <w:spacing w:before="100" w:beforeAutospacing="1" w:after="100" w:afterAutospacing="1"/>
    </w:pPr>
  </w:style>
  <w:style w:type="paragraph" w:customStyle="1" w:styleId="box-focus">
    <w:name w:val="box-focus"/>
    <w:basedOn w:val="Normale"/>
    <w:rsid w:val="00671A34"/>
    <w:pPr>
      <w:spacing w:before="100" w:beforeAutospacing="1" w:after="100" w:afterAutospacing="1"/>
    </w:pPr>
  </w:style>
  <w:style w:type="paragraph" w:customStyle="1" w:styleId="abstract">
    <w:name w:val="abstract"/>
    <w:basedOn w:val="Normale"/>
    <w:rsid w:val="00671A34"/>
    <w:pPr>
      <w:spacing w:before="100" w:beforeAutospacing="1" w:after="100" w:afterAutospacing="1"/>
    </w:pPr>
  </w:style>
  <w:style w:type="paragraph" w:customStyle="1" w:styleId="old-price">
    <w:name w:val="old-price"/>
    <w:basedOn w:val="Normale"/>
    <w:rsid w:val="00671A34"/>
    <w:pPr>
      <w:spacing w:before="100" w:beforeAutospacing="1" w:after="100" w:afterAutospacing="1"/>
    </w:pPr>
  </w:style>
  <w:style w:type="character" w:customStyle="1" w:styleId="strike">
    <w:name w:val="strike"/>
    <w:basedOn w:val="Carpredefinitoparagrafo"/>
    <w:rsid w:val="00671A34"/>
  </w:style>
  <w:style w:type="character" w:customStyle="1" w:styleId="sale">
    <w:name w:val="sale"/>
    <w:basedOn w:val="Carpredefinitoparagrafo"/>
    <w:rsid w:val="00671A34"/>
  </w:style>
  <w:style w:type="paragraph" w:customStyle="1" w:styleId="price">
    <w:name w:val="price"/>
    <w:basedOn w:val="Normale"/>
    <w:rsid w:val="00671A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6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7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0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381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9570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5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1946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single" w:sz="6" w:space="11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92645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0317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959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1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782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223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8571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7560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252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6812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8913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431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1612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6916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2588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7463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490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9381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019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2376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793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610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19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5787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5618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264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546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902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9259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3550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515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427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7991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2289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212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6796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640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2871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365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639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554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42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4936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77447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20989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712209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162293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251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603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9888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525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583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2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79228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2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2566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6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6548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33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3768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60509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83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663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9" w:color="000000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1887796691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5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80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7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7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04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1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soa.it/documents/impresa/contratti-dimpresa/quotidiano/2021/05/26/decreto-sostegni-bis-novita-imprese-professionist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psoa.it/documents/finanziamenti/imprenditoria/quotidiano/2020/08/28/bonus-alberghi-incentivo-rafforzato-nuove-modalita-fruizio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EF6B-91B0-4CF7-A8C7-C01240B4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Castellano</dc:creator>
  <cp:keywords/>
  <cp:lastModifiedBy>EE8761</cp:lastModifiedBy>
  <cp:revision>13</cp:revision>
  <cp:lastPrinted>2021-06-16T08:01:00Z</cp:lastPrinted>
  <dcterms:created xsi:type="dcterms:W3CDTF">2015-03-23T10:52:00Z</dcterms:created>
  <dcterms:modified xsi:type="dcterms:W3CDTF">2021-06-16T08:01:00Z</dcterms:modified>
</cp:coreProperties>
</file>